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F4" w:rsidRDefault="00997EF4" w:rsidP="00997EF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 xml:space="preserve">W postępowaniu przygotowawczym poprzedzającym wniesienie sprawy do sądu pokrzywdzony jest stroną procesową (art. 299 § 1). W postępowaniu sądowym może być stroną (oskarżycielem posiłkowym), jeżeli tego zażąda do czasu rozpoczęcia przewodu sądowego (art. 53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 xml:space="preserve">i art. 54 § 1). </w:t>
      </w:r>
    </w:p>
    <w:p w:rsidR="00997EF4" w:rsidRPr="00997EF4" w:rsidRDefault="00997EF4" w:rsidP="00997EF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997EF4">
        <w:rPr>
          <w:rFonts w:ascii="Times New Roman" w:eastAsia="Arial Unicode MS" w:hAnsi="Times New Roman" w:cs="Times New Roman"/>
          <w:b/>
          <w:lang w:eastAsia="pl-PL"/>
        </w:rPr>
        <w:t>W  związku z tym pokrzywdzonemu przysługują wymienione poniżej uprawnienia:</w:t>
      </w:r>
    </w:p>
    <w:p w:rsidR="00997EF4" w:rsidRPr="00997EF4" w:rsidRDefault="00997EF4" w:rsidP="00997EF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pl-PL"/>
        </w:rPr>
      </w:pPr>
      <w:bookmarkStart w:id="0" w:name="_GoBack"/>
      <w:bookmarkEnd w:id="0"/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 xml:space="preserve">Prawo do korzystania z pomocy wybranego przez siebie pełnomocnika, którym może być adwokat lub radca prawny. Nie można mieć więcej niż trzech pełnomocników jednocześnie. W zależności od wyniku procesu kosztami wynajęcia pełnomocnika może zostać obciążony oskarżony (art. 627 - 629). Jeżeli pokrzywdzony wykaże, że nie stać go na pełnomocnika, sąd może wyznaczyć pełnomocnika z urzędu (art. 78 § 1, art. 87 § 1 i § 2, art. 88).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 xml:space="preserve">W postępowaniu sądowym, na żądanie pokrzywdzonego i bez względu na jego sytuację majątkową, sąd wyznacza mu pełnomocnika z urzędu; w zależności od wyniku procesu pokrzywdzony może zostać obciążony kosztami wyznaczenia takiego pełnomocnika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 xml:space="preserve">(art. 87a). 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>Prawo do bezpłatnej pomocy tłumacz, przy przesłuchaniu lub zapoznaniu się z treścią dowodu, jeżeli pokrzywdzony nie mówi po polsku, a także – w razie potrzeby – jeżeli jest on głuchy lub niemy (art. 204 § 1 i § 2).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>Prawo do złożenia zażalenia na postanowienie o odmowie wszczęcia lub umorzeniu śledztwa lub dochodzenia oraz zażalenia na bezczynność, jeżeli w ciągu 6 tygodni od złożenia przez pokrzywdzonego zawiadomienia o przestępstwie nie został on powiadomiony o wszczęciu albo odmowie wszczęcia śledztwa lub dochodzenia (art. 306 § 1, § 1a i § 3, art. 325a § 2).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 xml:space="preserve">Prawo do składania wniosków o dokonanie czynności śledztwa lub dochodzenia, np.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 xml:space="preserve">o przesłuchanie świadka, uzyskanie dokumentu, dopuszczenie opinii biegłego (art. 315 § 1, art. 325a § 2). Jeżeli istnieje obawa, że świadka nie będzie można przesłuchać na rozprawie, pokrzywdzony może wystąpić o jego przesłuchanie przez sąd lub zwrócić się do prokuratora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>o przesłuchanie świadka w tym trybie (art. 316 § 3).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 xml:space="preserve">Prawo do udziału w czynnościach postępowania przeprowadzanych na wniosek pokrzywdzonego oraz w czynnościach, których nie można powtórzyć na rozprawie, w tym także w przeprowadzeniu dowodu. W czynnościach tych może również uczestniczyć pełnomocnik pokrzywdzonego (art. 315 i art. 316). W szczególnie uzasadnionym wypadku można odmówić dopuszczenia pokrzywdzonego i pełnomocnika do czynności ze względu na dobro postępowania (art. 317 § 2). Pokrzywdzonemu przysługuje zwrot kosztów stawiennictwa na wezwanie (618a – 618e i art. 618j). W wypadku wezwania do osobistego stawiennictwa, usprawiedliwienie nieobecności z powodu choroby jest możliwe wyłącznie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 xml:space="preserve">po przedstawieniu zaświadczenia wystawionego przez lekarza sądowego. Inne zwolnienie jest niewystraczające (art. 117 § 2a).  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>Prawo do udziału w przesłuchaniu biegłego oraz prawo do zapoznania się z jego pisemną opinią (art. 318).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 xml:space="preserve">Prawo dostępu do akt sprawy, do sporządzania odpisów i kopii. Można odmówić dostępu </w:t>
      </w:r>
      <w:r w:rsidRPr="00997EF4">
        <w:rPr>
          <w:rFonts w:ascii="Times New Roman" w:eastAsia="Arial Unicode MS" w:hAnsi="Times New Roman" w:cs="Times New Roman"/>
          <w:lang w:eastAsia="pl-PL"/>
        </w:rPr>
        <w:br/>
        <w:t>do akt ze względu na ważny interes państwa lub dobro postępowania (art. 156 § 5).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>Prawo do złożenia wniosku o zapoznanie się z materiałami śledztwa lub dochodzenia przed jego zakończeniem. W trakcie tej czynności pokrzywdzonemu może towarzyszyć pełnomocnik (art. 321 § 1 i § 3, art.325a § 2).</w:t>
      </w:r>
    </w:p>
    <w:p w:rsidR="00997EF4" w:rsidRPr="00997EF4" w:rsidRDefault="00997EF4" w:rsidP="00997EF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97EF4">
        <w:rPr>
          <w:rFonts w:ascii="Times New Roman" w:eastAsia="Arial Unicode MS" w:hAnsi="Times New Roman" w:cs="Times New Roman"/>
          <w:lang w:eastAsia="pl-PL"/>
        </w:rPr>
        <w:t xml:space="preserve">Prawo do złożenia wniosku o skierowanie sprawy do postępowania mediacyjnego w celu pogodzenia się z podejrzanym (art. 23a). Udział w postępowaniu mediacyjnym jest dobrowolny. Pozytywne wyniki przeprowadzonej mediacji są brane pod uwagę przez sąd przy wymiarze kary (art. 53 § 3 ustawy z dnia 6 czerwca 1997 r. - Kodeks karny, Dz. U. Nr 88, poz. 553, z </w:t>
      </w:r>
      <w:proofErr w:type="spellStart"/>
      <w:r w:rsidRPr="00997EF4">
        <w:rPr>
          <w:rFonts w:ascii="Times New Roman" w:eastAsia="Arial Unicode MS" w:hAnsi="Times New Roman" w:cs="Times New Roman"/>
          <w:lang w:eastAsia="pl-PL"/>
        </w:rPr>
        <w:t>późn</w:t>
      </w:r>
      <w:proofErr w:type="spellEnd"/>
      <w:r w:rsidRPr="00997EF4">
        <w:rPr>
          <w:rFonts w:ascii="Times New Roman" w:eastAsia="Arial Unicode MS" w:hAnsi="Times New Roman" w:cs="Times New Roman"/>
          <w:lang w:eastAsia="pl-PL"/>
        </w:rPr>
        <w:t xml:space="preserve">. zm.). 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30"/>
        </w:tabs>
        <w:spacing w:after="120" w:line="240" w:lineRule="auto"/>
        <w:ind w:left="714" w:right="20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>Prawo do złożenia wniosku o naprawienie szkody lub zadośćuczynienie wyrządzonej krzywdzie aż do zamknięcia przewodu sądowego (art. 49a).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44"/>
        </w:tabs>
        <w:spacing w:before="120" w:after="120" w:line="240" w:lineRule="auto"/>
        <w:ind w:left="714" w:right="20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 xml:space="preserve">Prawo do złożenia wniosku o umorzenie postępowania karnego o przestępstwo zagrożone karą nie wyższą niż 3 lata pozbawienia wolności, o przestępstwo przeciwko mieniu zagrożone karą nie wyższą niż 5 lat pozbawienia wolności oraz o opisane w art. 157 § 1 Kodeksu karnego uszkodzenie ciała inne niż ciężkie, jeżeli sprawca, który nie był wcześniej skazany </w:t>
      </w:r>
      <w:r w:rsidRPr="00997EF4">
        <w:rPr>
          <w:rFonts w:ascii="Times New Roman" w:eastAsia="Times New Roman" w:hAnsi="Times New Roman" w:cs="Times New Roman"/>
          <w:lang w:eastAsia="pl-PL"/>
        </w:rPr>
        <w:br/>
      </w:r>
      <w:r w:rsidRPr="00997EF4">
        <w:rPr>
          <w:rFonts w:ascii="Times New Roman" w:eastAsia="Times New Roman" w:hAnsi="Times New Roman" w:cs="Times New Roman"/>
          <w:lang w:eastAsia="pl-PL"/>
        </w:rPr>
        <w:lastRenderedPageBreak/>
        <w:t>za przestępstwo umyślne z użyciem przemocy, przed rozprawą naprawił szkodę lub zadośćuczynił wyrządzonej krzywdzie (art. 59a Kodeksu karnego).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30"/>
        </w:tabs>
        <w:spacing w:before="120" w:after="120" w:line="240" w:lineRule="auto"/>
        <w:ind w:left="714" w:right="20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>Prawo do otrzymania informacji o uchyleniu tymczasowego aresztowania stosowanego wobec podejrzanego lub o jego ucieczce z aresztu śledczego (art. 253 § 3).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14"/>
        </w:tabs>
        <w:spacing w:before="120"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>Prawo do złożenia zażalenia na każdą czynność naruszającą prawa pokrzywdzonego (art. 302 § 2, art. 459).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34"/>
        </w:tabs>
        <w:spacing w:before="240" w:after="120" w:line="240" w:lineRule="auto"/>
        <w:ind w:left="714" w:right="20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 xml:space="preserve">Pokrzywdzony będący obywatelem polskim lub obywatelem innego państwa członkowskiego Unii Europejskiej może się ubiegać o państwową kompensatę na zasadach określonych </w:t>
      </w:r>
      <w:r w:rsidRPr="00997EF4">
        <w:rPr>
          <w:rFonts w:ascii="Times New Roman" w:eastAsia="Times New Roman" w:hAnsi="Times New Roman" w:cs="Times New Roman"/>
          <w:lang w:eastAsia="pl-PL"/>
        </w:rPr>
        <w:br/>
        <w:t xml:space="preserve">w ustawie z dnia 7 lipca 2005 r. o państwowej kompensacie przysługującej ofiarom niektórych przestępstw (Dz. U. Nr 169, poz. 1415, z </w:t>
      </w:r>
      <w:proofErr w:type="spellStart"/>
      <w:r w:rsidRPr="00997EF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97EF4">
        <w:rPr>
          <w:rFonts w:ascii="Times New Roman" w:eastAsia="Times New Roman" w:hAnsi="Times New Roman" w:cs="Times New Roman"/>
          <w:lang w:eastAsia="pl-PL"/>
        </w:rPr>
        <w:t>. zm.).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34"/>
        </w:tabs>
        <w:spacing w:before="120" w:after="120" w:line="240" w:lineRule="auto"/>
        <w:ind w:left="714" w:right="20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>Adres miejsca zamieszkania i adres pracy pokrzywdzonego nie są ujawniane w aktach sprawy. Można je ujawnić tylko wyjątkowo (art. 148 § 2a - 2c).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49"/>
        </w:tabs>
        <w:spacing w:before="120" w:after="120" w:line="240" w:lineRule="auto"/>
        <w:ind w:left="714" w:right="20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 xml:space="preserve">W razie zagrożenia dla życia lub zdrowia pokrzywdzonego lub jego najbliższych, mogą oni otrzymać ochronę Policji na czas czynności procesowej, a jeżeli stopień zagrożenia jest wysoki, mogą oni otrzymać ochronę osobistą lub pomoc w zakresie zmiany miejsca pobytu. Wniosek o udzielenie ochrony kieruje się do komendanta wojewódzkiego Policji </w:t>
      </w:r>
      <w:r w:rsidRPr="00997EF4">
        <w:rPr>
          <w:rFonts w:ascii="Times New Roman" w:eastAsia="Times New Roman" w:hAnsi="Times New Roman" w:cs="Times New Roman"/>
          <w:lang w:eastAsia="pl-PL"/>
        </w:rPr>
        <w:br/>
        <w:t xml:space="preserve">za pośrednictwem organu prowadzącego postępowanie albo sądu (art. 1 - 17 ustawy z dnia </w:t>
      </w:r>
      <w:r w:rsidRPr="00997EF4">
        <w:rPr>
          <w:rFonts w:ascii="Times New Roman" w:eastAsia="Times New Roman" w:hAnsi="Times New Roman" w:cs="Times New Roman"/>
          <w:lang w:eastAsia="pl-PL"/>
        </w:rPr>
        <w:br/>
        <w:t>28 listopada 2014 r. o ochronie i pomocy dla pokrzywdzonego i świadka, Dz. U. z 2015 r. poz. 21).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44"/>
        </w:tabs>
        <w:spacing w:before="120" w:after="120" w:line="240" w:lineRule="auto"/>
        <w:ind w:left="714" w:right="23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 xml:space="preserve">Pokrzywdzony i jego najbliżsi mogą otrzymać pomoc medyczną, psychologiczną, rehabilitacyjną, prawną oraz materialną w Sieci Pomocy dla Osób Pokrzywdzonych Przestępstwem (art. 43 § 8 pkt 1 ustawy z dnia 6 czerwca 1997 r. - Kodeks karny wykonawczy, Dz. U. Nr 90, poz. 557, z </w:t>
      </w:r>
      <w:proofErr w:type="spellStart"/>
      <w:r w:rsidRPr="00997EF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97EF4">
        <w:rPr>
          <w:rFonts w:ascii="Times New Roman" w:eastAsia="Times New Roman" w:hAnsi="Times New Roman" w:cs="Times New Roman"/>
          <w:lang w:eastAsia="pl-PL"/>
        </w:rPr>
        <w:t>. zm.).</w:t>
      </w:r>
    </w:p>
    <w:p w:rsidR="00997EF4" w:rsidRPr="00997EF4" w:rsidRDefault="00997EF4" w:rsidP="00997EF4">
      <w:pPr>
        <w:numPr>
          <w:ilvl w:val="0"/>
          <w:numId w:val="1"/>
        </w:numPr>
        <w:tabs>
          <w:tab w:val="left" w:pos="734"/>
        </w:tabs>
        <w:spacing w:before="120" w:after="120" w:line="240" w:lineRule="auto"/>
        <w:ind w:left="714" w:right="23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97EF4">
        <w:rPr>
          <w:rFonts w:ascii="Times New Roman" w:eastAsia="Times New Roman" w:hAnsi="Times New Roman" w:cs="Times New Roman"/>
          <w:lang w:eastAsia="pl-PL"/>
        </w:rPr>
        <w:t>Jeżeli sprawcy zakazano zbliżania się lub kontaktowania się z pokrzywdzonym, zakaz ten, na wniosek pokrzywdzonego, może być wykonywany także w innym państwie członkowskim Unii Europejskiej na podstawie europejskiego nakazu ochrony (art. 611w - 611wc).</w:t>
      </w:r>
    </w:p>
    <w:p w:rsidR="00C529BD" w:rsidRDefault="00C529BD"/>
    <w:sectPr w:rsidR="00C5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35C"/>
    <w:multiLevelType w:val="hybridMultilevel"/>
    <w:tmpl w:val="B2DA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F4"/>
    <w:rsid w:val="00997EF4"/>
    <w:rsid w:val="00C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53AC-4182-4E37-944B-28F8BFDC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wiktortkaczuk</dc:creator>
  <cp:keywords/>
  <dc:description/>
  <cp:lastModifiedBy>wiktortkaczuk</cp:lastModifiedBy>
  <cp:revision>1</cp:revision>
  <dcterms:created xsi:type="dcterms:W3CDTF">2016-02-08T08:52:00Z</dcterms:created>
  <dcterms:modified xsi:type="dcterms:W3CDTF">2016-02-08T08:53:00Z</dcterms:modified>
</cp:coreProperties>
</file>